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7465488" wp14:paraId="5F0DC573" wp14:textId="6AFDD96A">
      <w:pPr>
        <w:pStyle w:val="Heading3"/>
        <w:spacing w:before="281" w:beforeAutospacing="off" w:after="281" w:afterAutospacing="off"/>
        <w:jc w:val="center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32"/>
          <w:szCs w:val="32"/>
          <w:lang w:val="es-ES"/>
        </w:rPr>
      </w:pPr>
      <w:r w:rsidRPr="27465488" w:rsidR="5889C5D3">
        <w:rPr>
          <w:rFonts w:ascii="Gill Sans MT" w:hAnsi="Gill Sans MT" w:eastAsia="Gill Sans MT" w:cs="Gill Sans MT"/>
          <w:b w:val="1"/>
          <w:bCs w:val="1"/>
          <w:i w:val="1"/>
          <w:iCs w:val="1"/>
          <w:color w:val="auto"/>
          <w:sz w:val="32"/>
          <w:szCs w:val="32"/>
        </w:rPr>
        <w:t>Healing</w:t>
      </w:r>
      <w:r w:rsidRPr="27465488" w:rsidR="5889C5D3">
        <w:rPr>
          <w:rFonts w:ascii="Gill Sans MT" w:hAnsi="Gill Sans MT" w:eastAsia="Gill Sans MT" w:cs="Gill Sans MT"/>
          <w:b w:val="1"/>
          <w:bCs w:val="1"/>
          <w:i w:val="1"/>
          <w:iCs w:val="1"/>
          <w:color w:val="auto"/>
          <w:sz w:val="32"/>
          <w:szCs w:val="32"/>
        </w:rPr>
        <w:t xml:space="preserve"> Waters </w:t>
      </w:r>
      <w:r w:rsidRPr="27465488" w:rsidR="5889C5D3">
        <w:rPr>
          <w:rFonts w:ascii="Gill Sans MT" w:hAnsi="Gill Sans MT" w:eastAsia="Gill Sans MT" w:cs="Gill Sans MT"/>
          <w:b w:val="1"/>
          <w:bCs w:val="1"/>
          <w:i w:val="1"/>
          <w:iCs w:val="1"/>
          <w:color w:val="auto"/>
          <w:sz w:val="32"/>
          <w:szCs w:val="32"/>
        </w:rPr>
        <w:t>of</w:t>
      </w:r>
      <w:r w:rsidRPr="27465488" w:rsidR="5889C5D3">
        <w:rPr>
          <w:rFonts w:ascii="Gill Sans MT" w:hAnsi="Gill Sans MT" w:eastAsia="Gill Sans MT" w:cs="Gill Sans MT"/>
          <w:b w:val="1"/>
          <w:bCs w:val="1"/>
          <w:i w:val="1"/>
          <w:iCs w:val="1"/>
          <w:color w:val="auto"/>
          <w:sz w:val="32"/>
          <w:szCs w:val="32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i w:val="1"/>
          <w:iCs w:val="1"/>
          <w:color w:val="auto"/>
          <w:sz w:val="32"/>
          <w:szCs w:val="32"/>
        </w:rPr>
        <w:t>Istanbul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32"/>
          <w:szCs w:val="32"/>
        </w:rPr>
        <w:t>: la experiencia que conecta cuerpo, historia y espíritu</w:t>
      </w:r>
    </w:p>
    <w:p xmlns:wp14="http://schemas.microsoft.com/office/word/2010/wordml" w:rsidP="01C51E4C" wp14:paraId="42129486" wp14:textId="222970E5">
      <w:pPr>
        <w:pStyle w:val="Heading4"/>
        <w:spacing w:before="319" w:beforeAutospacing="off" w:after="319" w:afterAutospacing="off"/>
        <w:jc w:val="center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The Peninsula Istanbul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invita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a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descubrir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secretos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ocultos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del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agua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de las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experiencias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más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inmersivas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de The Peninsula Academy</w:t>
      </w:r>
    </w:p>
    <w:p xmlns:wp14="http://schemas.microsoft.com/office/word/2010/wordml" w:rsidP="01C51E4C" wp14:paraId="50D17DFD" wp14:textId="21A7D2D1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</w:pP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Estambul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Turquía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, </w:t>
      </w:r>
      <w:r w:rsidRPr="27465488" w:rsidR="68F61522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23 de septiembre, 2025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— 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T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h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e Peninsu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l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a Hote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ls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presenta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sus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experiencias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más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evocadoras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transformadoras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dentro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su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programa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insigni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a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h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e Peninsu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l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a Acade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my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: 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Heali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ng Water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 xml:space="preserve">s 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o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f Istanb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ul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inmersión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cultural que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lleva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huéspedes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por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aguas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milenarias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manantiales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sagrados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y hamma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ms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históricos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la ciudad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donde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Oriente y Occidente se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funden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.</w:t>
      </w:r>
    </w:p>
    <w:p xmlns:wp14="http://schemas.microsoft.com/office/word/2010/wordml" w:rsidP="01C51E4C" wp14:paraId="5B0170E2" wp14:textId="3585C567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s-E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Lanzado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1997,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The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Peninsula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Academy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fue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concebido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para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ofrecer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viajeros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más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exigentes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conexión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real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personalizada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con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alma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destino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. Disponible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las 12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propiedades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grupo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—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desde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Tokio hasta Nueva York—,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programa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propone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experiencias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diseñadas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con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expertos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locales que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abren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puertas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tradiciones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espacios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narrativas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normalmente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inaccesibles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visitante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tradicional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.</w:t>
      </w:r>
    </w:p>
    <w:p xmlns:wp14="http://schemas.microsoft.com/office/word/2010/wordml" w:rsidP="01C51E4C" wp14:paraId="7180CE2A" wp14:textId="00B77A1B">
      <w:pPr>
        <w:pStyle w:val="Heading3"/>
        <w:spacing w:before="281" w:beforeAutospacing="off" w:after="281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28"/>
          <w:szCs w:val="28"/>
          <w:lang w:val="en-US"/>
        </w:rPr>
      </w:pP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Un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viaje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por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las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aguas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que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dieron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vida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a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Constantinopla</w:t>
      </w:r>
    </w:p>
    <w:p xmlns:wp14="http://schemas.microsoft.com/office/word/2010/wordml" w:rsidP="01C51E4C" wp14:paraId="5E2466D3" wp14:textId="7E476CC9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experiencia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i w:val="1"/>
          <w:iCs w:val="1"/>
          <w:color w:val="auto"/>
          <w:sz w:val="24"/>
          <w:szCs w:val="24"/>
        </w:rPr>
        <w:t>Healing Waters of Istanbul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diseñada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exclusivamente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para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huéspedes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The Peninsula Istanbul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traza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un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recorrido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íntimo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por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sistemas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agua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que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han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marcado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historia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la ciudad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durante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más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1.500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años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.</w:t>
      </w:r>
    </w:p>
    <w:p xmlns:wp14="http://schemas.microsoft.com/office/word/2010/wordml" w:rsidP="01C51E4C" wp14:paraId="551E546B" wp14:textId="50A7099C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itinerario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inicia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enigmática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Cisterna de Teodosio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un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espacio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subterráneo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donde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eco del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pasado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se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siente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columna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.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Desde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ahí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camino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conduce al monumental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Acueducto de Valente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testigo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ingeniería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romana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que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alimentó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antigua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Constantinopla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.</w:t>
      </w:r>
    </w:p>
    <w:p xmlns:wp14="http://schemas.microsoft.com/office/word/2010/wordml" w:rsidP="01C51E4C" wp14:paraId="0B3AE8F5" wp14:textId="427A8D00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travesía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acuática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se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convierte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experiencia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sensorial al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llegar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al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Zeyrek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Çinili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Hamam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un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baño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turco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siglo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XVI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meticulosamente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restaurado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que hoy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alberga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también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Museo del Hammam,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dedicado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preservar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esta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herencia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intangible.</w:t>
      </w:r>
    </w:p>
    <w:p xmlns:wp14="http://schemas.microsoft.com/office/word/2010/wordml" w:rsidP="01C51E4C" wp14:paraId="71DCD162" wp14:textId="314039D8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El almuerzo se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disfruta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tradicional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restaurante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Cibalıkapı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Balıkçısı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donde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sabores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Bósforo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se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presentan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forma de mezes frescos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pescado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local a la parrilla.</w:t>
      </w:r>
    </w:p>
    <w:p xmlns:wp14="http://schemas.microsoft.com/office/word/2010/wordml" w:rsidP="27465488" wp14:paraId="00D115A3" wp14:textId="0B8262E4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color w:val="auto"/>
          <w:sz w:val="24"/>
          <w:szCs w:val="24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ruta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continúa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hacia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antigua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fábrica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francesa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de tabaco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ahora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universidad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construida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sobre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 cisterna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Seferikos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culmina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barrio histórico de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Ayvansaray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con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visita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iglesia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ortodoxa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Panayia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Vlaherna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Meryem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Ana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donde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aún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fluye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un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manantial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sagrado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.</w:t>
      </w:r>
    </w:p>
    <w:p xmlns:wp14="http://schemas.microsoft.com/office/word/2010/wordml" w:rsidP="01C51E4C" wp14:paraId="757009DD" wp14:textId="629BFD39">
      <w:pPr>
        <w:pStyle w:val="Heading3"/>
        <w:spacing w:before="281" w:beforeAutospacing="off" w:after="281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28"/>
          <w:szCs w:val="28"/>
          <w:lang w:val="en-US"/>
        </w:rPr>
      </w:pP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Experiencia boutique,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curaduría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cultural</w:t>
      </w:r>
    </w:p>
    <w:p xmlns:wp14="http://schemas.microsoft.com/office/word/2010/wordml" w:rsidP="01C51E4C" wp14:paraId="4A058CB8" wp14:textId="1BEA0471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recorrido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está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disponible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formato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privado para hasta cuatro personas, con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guía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local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especializado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almuerzo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incluido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acceso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exclusivo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sitios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mencionados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. </w:t>
      </w:r>
    </w:p>
    <w:p w:rsidR="0ECC07DA" w:rsidP="27465488" w:rsidRDefault="0ECC07DA" w14:paraId="4A140A5D" w14:textId="1CA8FF3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Gill Sans MT" w:hAnsi="Gill Sans MT" w:eastAsia="Gill Sans MT" w:cs="Gill Sans MT"/>
          <w:color w:val="auto"/>
          <w:sz w:val="24"/>
          <w:szCs w:val="24"/>
        </w:rPr>
      </w:pPr>
      <w:r w:rsidRPr="27465488" w:rsidR="0ECC07DA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Precio</w:t>
      </w:r>
      <w:r w:rsidRPr="27465488" w:rsidR="0ECC07DA">
        <w:rPr>
          <w:rFonts w:ascii="Gill Sans MT" w:hAnsi="Gill Sans MT" w:eastAsia="Gill Sans MT" w:cs="Gill Sans MT"/>
          <w:color w:val="auto"/>
          <w:sz w:val="24"/>
          <w:szCs w:val="24"/>
        </w:rPr>
        <w:t>: €1000 (hasta 4 personas)</w:t>
      </w:r>
    </w:p>
    <w:p w:rsidR="0ECC07DA" w:rsidP="27465488" w:rsidRDefault="0ECC07DA" w14:paraId="0A547997" w14:textId="24D5C0B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Gill Sans MT" w:hAnsi="Gill Sans MT" w:eastAsia="Gill Sans MT" w:cs="Gill Sans MT"/>
          <w:color w:val="auto"/>
          <w:sz w:val="24"/>
          <w:szCs w:val="24"/>
        </w:rPr>
      </w:pPr>
      <w:r w:rsidRPr="27465488" w:rsidR="0ECC07DA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Duración</w:t>
      </w:r>
      <w:r w:rsidRPr="27465488" w:rsidR="0ECC07DA">
        <w:rPr>
          <w:rFonts w:ascii="Gill Sans MT" w:hAnsi="Gill Sans MT" w:eastAsia="Gill Sans MT" w:cs="Gill Sans MT"/>
          <w:color w:val="auto"/>
          <w:sz w:val="24"/>
          <w:szCs w:val="24"/>
        </w:rPr>
        <w:t>: jornada completa</w:t>
      </w:r>
    </w:p>
    <w:p w:rsidR="0ECC07DA" w:rsidP="27465488" w:rsidRDefault="0ECC07DA" w14:paraId="1DC459D2" w14:textId="389658A6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Gill Sans MT" w:hAnsi="Gill Sans MT" w:eastAsia="Gill Sans MT" w:cs="Gill Sans MT"/>
          <w:color w:val="auto"/>
          <w:sz w:val="24"/>
          <w:szCs w:val="24"/>
        </w:rPr>
      </w:pPr>
      <w:r w:rsidRPr="27465488" w:rsidR="0ECC07DA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Reservas</w:t>
      </w:r>
      <w:r w:rsidRPr="27465488" w:rsidR="0ECC07DA">
        <w:rPr>
          <w:rFonts w:ascii="Gill Sans MT" w:hAnsi="Gill Sans MT" w:eastAsia="Gill Sans MT" w:cs="Gill Sans MT"/>
          <w:color w:val="auto"/>
          <w:sz w:val="24"/>
          <w:szCs w:val="24"/>
        </w:rPr>
        <w:t>: mínimo 48 horas antes. No disponible los domingos</w:t>
      </w:r>
    </w:p>
    <w:p w:rsidR="0ECC07DA" w:rsidP="27465488" w:rsidRDefault="0ECC07DA" w14:paraId="17486CDC" w14:textId="0921762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Gill Sans MT" w:hAnsi="Gill Sans MT" w:eastAsia="Gill Sans MT" w:cs="Gill Sans MT"/>
          <w:color w:val="auto"/>
          <w:sz w:val="24"/>
          <w:szCs w:val="24"/>
        </w:rPr>
      </w:pPr>
      <w:r w:rsidRPr="27465488" w:rsidR="0ECC07DA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Idiomas</w:t>
      </w:r>
      <w:r w:rsidRPr="27465488" w:rsidR="0ECC07DA">
        <w:rPr>
          <w:rFonts w:ascii="Gill Sans MT" w:hAnsi="Gill Sans MT" w:eastAsia="Gill Sans MT" w:cs="Gill Sans MT"/>
          <w:color w:val="auto"/>
          <w:sz w:val="24"/>
          <w:szCs w:val="24"/>
        </w:rPr>
        <w:t>: Inglés. Otros idiomas con costo adicional</w:t>
      </w:r>
    </w:p>
    <w:p xmlns:wp14="http://schemas.microsoft.com/office/word/2010/wordml" w:rsidP="01C51E4C" wp14:paraId="4E59E4D6" wp14:textId="70CB886F">
      <w:pPr>
        <w:pStyle w:val="Heading3"/>
        <w:spacing w:before="281" w:beforeAutospacing="off" w:after="281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28"/>
          <w:szCs w:val="28"/>
          <w:lang w:val="en-US"/>
        </w:rPr>
      </w:pP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Más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allá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del tour: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bienestar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,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gastronomía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y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sofisticación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atemporal</w:t>
      </w:r>
    </w:p>
    <w:p xmlns:wp14="http://schemas.microsoft.com/office/word/2010/wordml" w:rsidP="01C51E4C" wp14:paraId="60502D25" wp14:textId="78A7E5AF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Además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vivir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esta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inmersión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cultural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única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huéspedes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The Peninsula Istanbul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pueden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explorar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un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universo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bienestar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alta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cocina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dentro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propio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hotel.</w:t>
      </w:r>
    </w:p>
    <w:p xmlns:wp14="http://schemas.microsoft.com/office/word/2010/wordml" w:rsidP="01C51E4C" wp14:paraId="5F348702" wp14:textId="4FD48565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galardonado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The Peninsula Spa Istanbul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es un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santuario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subterráneo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mármol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que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ofrece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rituales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inspirados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tradiciones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orientales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tratamientos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vanguardia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. Entre sus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espacios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se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encuentran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hammams para hombres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mujeres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salas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relajación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un elegante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salón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té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.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Aquí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cuerpo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se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prepara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para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descanso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con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misma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sofisticación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atención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detalle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que distingue a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marca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Peninsula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mundo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entero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. 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tradicional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ritual de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baño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turco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cobra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nueva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vida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bajo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cuidado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experto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terapeutas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clase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mundial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.</w:t>
      </w:r>
    </w:p>
    <w:p xmlns:wp14="http://schemas.microsoft.com/office/word/2010/wordml" w:rsidP="01C51E4C" wp14:paraId="21A58E58" wp14:textId="46309434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Por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su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parte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GALLADA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restaurante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insignia del hotel, es un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homenaje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moderno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sabores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antigua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Ruta de la Seda. Bajo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dirección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renombrado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chef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Fatih Tutak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propuesta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culinaria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fusiona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tradición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turca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centroasiática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con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técnicas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contemporáneas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un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entorno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con vistas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inigualables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Bósforo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. Su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ambiente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vibrante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complementado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por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elegante 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Topside Bar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convierte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velada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celebración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sensorial.</w:t>
      </w:r>
    </w:p>
    <w:p xmlns:wp14="http://schemas.microsoft.com/office/word/2010/wordml" w:rsidP="01C51E4C" wp14:paraId="1859E90C" wp14:textId="2CE3EDF6">
      <w:pPr>
        <w:jc w:val="both"/>
        <w:rPr>
          <w:rFonts w:ascii="Gill Sans MT" w:hAnsi="Gill Sans MT" w:eastAsia="Gill Sans MT" w:cs="Gill Sans MT"/>
          <w:color w:val="auto"/>
        </w:rPr>
      </w:pPr>
    </w:p>
    <w:p xmlns:wp14="http://schemas.microsoft.com/office/word/2010/wordml" w:rsidP="01C51E4C" wp14:paraId="5B33FA37" wp14:textId="752656E3">
      <w:pPr>
        <w:pStyle w:val="Heading3"/>
        <w:spacing w:before="281" w:beforeAutospacing="off" w:after="281" w:afterAutospacing="off"/>
        <w:jc w:val="both"/>
        <w:rPr>
          <w:rFonts w:ascii="Gill Sans MT" w:hAnsi="Gill Sans MT" w:eastAsia="Gill Sans MT" w:cs="Gill Sans MT"/>
          <w:b w:val="1"/>
          <w:bCs w:val="1"/>
          <w:noProof w:val="0"/>
          <w:color w:val="auto"/>
          <w:sz w:val="28"/>
          <w:szCs w:val="28"/>
          <w:lang w:val="en-US"/>
        </w:rPr>
      </w:pP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>Sobre</w:t>
      </w: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8"/>
          <w:szCs w:val="28"/>
        </w:rPr>
        <w:t xml:space="preserve"> The Peninsula Academy</w:t>
      </w:r>
    </w:p>
    <w:p xmlns:wp14="http://schemas.microsoft.com/office/word/2010/wordml" w:rsidP="01C51E4C" wp14:paraId="7E63392C" wp14:textId="6F17FAA8">
      <w:pPr>
        <w:spacing w:before="240" w:beforeAutospacing="off" w:after="240" w:afterAutospacing="off"/>
        <w:jc w:val="both"/>
        <w:rPr>
          <w:rFonts w:ascii="Gill Sans MT" w:hAnsi="Gill Sans MT" w:eastAsia="Gill Sans MT" w:cs="Gill Sans MT"/>
          <w:noProof w:val="0"/>
          <w:color w:val="auto"/>
          <w:sz w:val="24"/>
          <w:szCs w:val="24"/>
          <w:lang w:val="en-US"/>
        </w:rPr>
      </w:pPr>
      <w:r w:rsidRPr="27465488" w:rsidR="5889C5D3">
        <w:rPr>
          <w:rFonts w:ascii="Gill Sans MT" w:hAnsi="Gill Sans MT" w:eastAsia="Gill Sans MT" w:cs="Gill Sans MT"/>
          <w:b w:val="1"/>
          <w:bCs w:val="1"/>
          <w:color w:val="auto"/>
          <w:sz w:val="24"/>
          <w:szCs w:val="24"/>
        </w:rPr>
        <w:t>The Peninsula Academy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es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el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programa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experiencias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culturales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grupo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The Peninsula Hotels,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diseñado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para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ofrecer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los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huéspedes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inmersión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profunda,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exclusiva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personalizada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la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cultura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historia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y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estilo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vida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sus 12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propiedades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alrededor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del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mundo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.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Desde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clases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caligrafía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Shanghái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hasta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exploraciones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de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arte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urbano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en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Nueva York,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cada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experiencia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es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una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ventana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 xml:space="preserve"> a lo 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auténtico</w:t>
      </w:r>
      <w:r w:rsidRPr="27465488" w:rsidR="5889C5D3">
        <w:rPr>
          <w:rFonts w:ascii="Gill Sans MT" w:hAnsi="Gill Sans MT" w:eastAsia="Gill Sans MT" w:cs="Gill Sans MT"/>
          <w:color w:val="auto"/>
          <w:sz w:val="24"/>
          <w:szCs w:val="24"/>
        </w:rPr>
        <w:t>.</w:t>
      </w:r>
    </w:p>
    <w:p xmlns:wp14="http://schemas.microsoft.com/office/word/2010/wordml" w:rsidP="01C51E4C" wp14:paraId="02FA010C" wp14:textId="45817C23">
      <w:pPr>
        <w:jc w:val="both"/>
        <w:rPr>
          <w:rFonts w:ascii="Gill Sans MT" w:hAnsi="Gill Sans MT" w:eastAsia="Gill Sans MT" w:cs="Gill Sans MT"/>
          <w:color w:val="auto"/>
        </w:rPr>
      </w:pPr>
    </w:p>
    <w:p w:rsidR="7F9C1895" w:rsidP="27465488" w:rsidRDefault="7F9C1895" w14:paraId="75357F77" w14:textId="39166A64">
      <w:pPr>
        <w:spacing w:before="0" w:beforeAutospacing="off" w:after="0" w:afterAutospacing="off" w:line="276" w:lineRule="auto"/>
        <w:ind w:left="0" w:right="0" w:firstLine="0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27465488" w:rsidR="7F9C1895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  <w:t xml:space="preserve">Para descargar imágenes en alta resolución, ingresar al siguiente </w:t>
      </w:r>
      <w:hyperlink r:id="R812c34d773ff4193">
        <w:r w:rsidRPr="27465488" w:rsidR="7F9C1895">
          <w:rPr>
            <w:rStyle w:val="Hyperlink"/>
            <w:rFonts w:ascii="Gill Sans MT" w:hAnsi="Gill Sans MT" w:eastAsia="Gill Sans MT" w:cs="Gill Sans MT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4"/>
            <w:szCs w:val="24"/>
          </w:rPr>
          <w:t>enlace.</w:t>
        </w:r>
      </w:hyperlink>
    </w:p>
    <w:p w:rsidR="27465488" w:rsidP="27465488" w:rsidRDefault="27465488" w14:paraId="6807FDFD" w14:textId="590FFBEA">
      <w:pPr>
        <w:pStyle w:val="Normal"/>
        <w:spacing w:before="240" w:beforeAutospacing="off" w:after="240" w:afterAutospacing="off"/>
        <w:ind w:left="0"/>
        <w:jc w:val="both"/>
        <w:rPr>
          <w:rFonts w:ascii="Gill Sans MT" w:hAnsi="Gill Sans MT" w:eastAsia="Gill Sans MT" w:cs="Gill Sans MT"/>
          <w:color w:val="auto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9828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D0388"/>
    <w:rsid w:val="01C51E4C"/>
    <w:rsid w:val="0ADD2BCF"/>
    <w:rsid w:val="0ECC07DA"/>
    <w:rsid w:val="0F81ADD3"/>
    <w:rsid w:val="1B1AEFA4"/>
    <w:rsid w:val="24B1B4F9"/>
    <w:rsid w:val="27465488"/>
    <w:rsid w:val="3E0F21D6"/>
    <w:rsid w:val="44F23A58"/>
    <w:rsid w:val="5889C5D3"/>
    <w:rsid w:val="68F61522"/>
    <w:rsid w:val="6B0D0388"/>
    <w:rsid w:val="6CFBE2E6"/>
    <w:rsid w:val="7F9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0388"/>
  <w15:chartTrackingRefBased/>
  <w15:docId w15:val="{F54FFB2A-A6A6-440D-87EC-5AC1054217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27465488"/>
    <w:rPr>
      <w:noProof w:val="0"/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27465488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27465488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ListParagraph">
    <w:uiPriority w:val="34"/>
    <w:name w:val="List Paragraph"/>
    <w:basedOn w:val="Normal"/>
    <w:qFormat/>
    <w:rsid w:val="2746548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746548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15fc28f8a8e4298" /><Relationship Type="http://schemas.openxmlformats.org/officeDocument/2006/relationships/hyperlink" Target="https://cocentraloffice.sharepoint.com/:f:/s/ACG-Tourism/Eul_nWdZMqVKuqYrAdnkx5IB6O7d89uZlUeKMbZcQVC58g?e=E6Cltl" TargetMode="External" Id="R812c34d773ff419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DAAE4-E0A0-436A-A6DD-05BAA4E3D81A}"/>
</file>

<file path=customXml/itemProps2.xml><?xml version="1.0" encoding="utf-8"?>
<ds:datastoreItem xmlns:ds="http://schemas.openxmlformats.org/officeDocument/2006/customXml" ds:itemID="{B05A427B-B05D-4C3B-BE18-EB4379EB4063}"/>
</file>

<file path=customXml/itemProps3.xml><?xml version="1.0" encoding="utf-8"?>
<ds:datastoreItem xmlns:ds="http://schemas.openxmlformats.org/officeDocument/2006/customXml" ds:itemID="{3735B346-3658-4698-A932-07FA3B7D8E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2025-09-23T21:55:21.0000000Z</dcterms:created>
  <dcterms:modified xsi:type="dcterms:W3CDTF">2025-09-24T18:25:31.2660202Z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